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sz w:val="36"/>
          <w:szCs w:val="36"/>
        </w:rPr>
      </w:pPr>
      <w:r>
        <w:rPr>
          <w:sz w:val="36"/>
          <w:szCs w:val="36"/>
        </w:rPr>
        <w:t>废活性炭处置类别及处置规模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1471"/>
        <w:gridCol w:w="3870"/>
        <w:gridCol w:w="190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pPr>
              <w:pStyle w:val="2"/>
              <w:keepNext w:val="0"/>
              <w:keepLines w:val="0"/>
              <w:widowControl/>
              <w:suppressLineNumbers w:val="0"/>
              <w:spacing w:before="0" w:beforeAutospacing="0" w:after="0" w:afterAutospacing="0"/>
              <w:ind w:left="0" w:right="0" w:firstLine="0"/>
              <w:jc w:val="center"/>
              <w:rPr>
                <w:sz w:val="24"/>
                <w:szCs w:val="24"/>
              </w:rPr>
            </w:pPr>
            <w:r>
              <w:rPr>
                <w:sz w:val="24"/>
                <w:szCs w:val="24"/>
              </w:rPr>
              <w:t>名称</w:t>
            </w:r>
          </w:p>
          <w:p>
            <w:pPr>
              <w:jc w:val="center"/>
              <w:rPr>
                <w:sz w:val="21"/>
                <w:szCs w:val="24"/>
                <w:vertAlign w:val="baseline"/>
              </w:rPr>
            </w:pPr>
          </w:p>
        </w:tc>
        <w:tc>
          <w:tcPr>
            <w:tcW w:w="2025" w:type="dxa"/>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回收数量</w:t>
            </w:r>
          </w:p>
        </w:tc>
        <w:tc>
          <w:tcPr>
            <w:tcW w:w="5341" w:type="dxa"/>
            <w:gridSpan w:val="2"/>
            <w:vAlign w:val="center"/>
          </w:tcPr>
          <w:p>
            <w:pPr>
              <w:jc w:val="center"/>
              <w:rPr>
                <w:sz w:val="21"/>
                <w:szCs w:val="24"/>
                <w:vertAlign w:val="baseline"/>
              </w:rPr>
            </w:pPr>
            <w:r>
              <w:rPr>
                <w:rFonts w:hint="eastAsia"/>
                <w:sz w:val="21"/>
                <w:szCs w:val="24"/>
                <w:vertAlign w:val="baseline"/>
                <w:lang w:val="en-US" w:eastAsia="zh-CN"/>
              </w:rPr>
              <w:t>具体类别</w:t>
            </w:r>
          </w:p>
        </w:tc>
        <w:tc>
          <w:tcPr>
            <w:tcW w:w="1905" w:type="dxa"/>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回收数量（吨）</w:t>
            </w:r>
          </w:p>
        </w:tc>
        <w:tc>
          <w:tcPr>
            <w:tcW w:w="1950" w:type="dxa"/>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再生产品数量（吨）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Merge w:val="restart"/>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回收废活性炭</w:t>
            </w:r>
          </w:p>
        </w:tc>
        <w:tc>
          <w:tcPr>
            <w:tcW w:w="2025" w:type="dxa"/>
            <w:vMerge w:val="restart"/>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14000吨/年</w:t>
            </w:r>
          </w:p>
        </w:tc>
        <w:tc>
          <w:tcPr>
            <w:tcW w:w="1471" w:type="dxa"/>
            <w:vMerge w:val="restart"/>
            <w:vAlign w:val="center"/>
          </w:tcPr>
          <w:p>
            <w:pPr>
              <w:jc w:val="center"/>
              <w:rPr>
                <w:sz w:val="21"/>
                <w:szCs w:val="24"/>
                <w:vertAlign w:val="baseline"/>
              </w:rPr>
            </w:pPr>
            <w:r>
              <w:rPr>
                <w:rFonts w:hint="eastAsia"/>
                <w:sz w:val="21"/>
                <w:szCs w:val="24"/>
                <w:vertAlign w:val="baseline"/>
                <w:lang w:val="en-US" w:eastAsia="zh-CN"/>
              </w:rPr>
              <w:t>废活性炭（危险固废）</w:t>
            </w:r>
          </w:p>
        </w:tc>
        <w:tc>
          <w:tcPr>
            <w:tcW w:w="3870" w:type="dxa"/>
            <w:vAlign w:val="center"/>
          </w:tcPr>
          <w:p>
            <w:pPr>
              <w:pStyle w:val="2"/>
              <w:keepNext w:val="0"/>
              <w:keepLines w:val="0"/>
              <w:widowControl/>
              <w:suppressLineNumbers w:val="0"/>
              <w:spacing w:before="0" w:beforeAutospacing="0" w:after="0" w:afterAutospacing="0"/>
              <w:ind w:left="0" w:right="0" w:firstLine="0"/>
              <w:jc w:val="center"/>
              <w:rPr>
                <w:sz w:val="24"/>
                <w:szCs w:val="24"/>
              </w:rPr>
            </w:pPr>
            <w:r>
              <w:rPr>
                <w:sz w:val="24"/>
                <w:szCs w:val="24"/>
              </w:rPr>
              <w:t>颗粒状废活性炭（HWO5、HWO6、HW12、HW13、HW39、HW49)</w:t>
            </w:r>
          </w:p>
          <w:p>
            <w:pPr>
              <w:jc w:val="center"/>
              <w:rPr>
                <w:sz w:val="21"/>
                <w:szCs w:val="24"/>
                <w:vertAlign w:val="baseline"/>
              </w:rPr>
            </w:pPr>
          </w:p>
        </w:tc>
        <w:tc>
          <w:tcPr>
            <w:tcW w:w="1905" w:type="dxa"/>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6000吨/年</w:t>
            </w:r>
          </w:p>
        </w:tc>
        <w:tc>
          <w:tcPr>
            <w:tcW w:w="1950" w:type="dxa"/>
            <w:vMerge w:val="restart"/>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6406吨/年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24" w:type="dxa"/>
            <w:vMerge w:val="continue"/>
            <w:vAlign w:val="center"/>
          </w:tcPr>
          <w:p>
            <w:pPr>
              <w:jc w:val="center"/>
              <w:rPr>
                <w:sz w:val="21"/>
                <w:szCs w:val="24"/>
                <w:vertAlign w:val="baseline"/>
              </w:rPr>
            </w:pPr>
          </w:p>
        </w:tc>
        <w:tc>
          <w:tcPr>
            <w:tcW w:w="2025" w:type="dxa"/>
            <w:vMerge w:val="continue"/>
            <w:vAlign w:val="center"/>
          </w:tcPr>
          <w:p>
            <w:pPr>
              <w:jc w:val="center"/>
              <w:rPr>
                <w:sz w:val="21"/>
                <w:szCs w:val="24"/>
                <w:vertAlign w:val="baseline"/>
              </w:rPr>
            </w:pPr>
          </w:p>
        </w:tc>
        <w:tc>
          <w:tcPr>
            <w:tcW w:w="1471" w:type="dxa"/>
            <w:vMerge w:val="continue"/>
            <w:vAlign w:val="center"/>
          </w:tcPr>
          <w:p>
            <w:pPr>
              <w:jc w:val="center"/>
              <w:rPr>
                <w:sz w:val="21"/>
                <w:szCs w:val="24"/>
                <w:vertAlign w:val="baseline"/>
              </w:rPr>
            </w:pPr>
          </w:p>
        </w:tc>
        <w:tc>
          <w:tcPr>
            <w:tcW w:w="3870" w:type="dxa"/>
            <w:vAlign w:val="center"/>
          </w:tcPr>
          <w:p>
            <w:pPr>
              <w:pStyle w:val="2"/>
              <w:keepNext w:val="0"/>
              <w:keepLines w:val="0"/>
              <w:widowControl/>
              <w:suppressLineNumbers w:val="0"/>
              <w:spacing w:before="0" w:beforeAutospacing="0" w:after="0" w:afterAutospacing="0"/>
              <w:ind w:left="0" w:right="0" w:firstLine="0"/>
              <w:jc w:val="center"/>
              <w:rPr>
                <w:sz w:val="24"/>
                <w:szCs w:val="24"/>
              </w:rPr>
            </w:pPr>
            <w:r>
              <w:rPr>
                <w:sz w:val="24"/>
                <w:szCs w:val="24"/>
              </w:rPr>
              <w:t>蜂窝状废活性炭（HW12、HW49）</w:t>
            </w:r>
          </w:p>
          <w:p>
            <w:pPr>
              <w:jc w:val="center"/>
              <w:rPr>
                <w:sz w:val="21"/>
                <w:szCs w:val="24"/>
                <w:vertAlign w:val="baseline"/>
              </w:rPr>
            </w:pPr>
          </w:p>
        </w:tc>
        <w:tc>
          <w:tcPr>
            <w:tcW w:w="1905" w:type="dxa"/>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2000吨/年</w:t>
            </w:r>
          </w:p>
        </w:tc>
        <w:tc>
          <w:tcPr>
            <w:tcW w:w="1950" w:type="dxa"/>
            <w:vMerge w:val="continue"/>
            <w:vAlign w:val="center"/>
          </w:tcPr>
          <w:p>
            <w:pPr>
              <w:jc w:val="center"/>
              <w:rPr>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24" w:type="dxa"/>
            <w:vMerge w:val="continue"/>
            <w:vAlign w:val="center"/>
          </w:tcPr>
          <w:p>
            <w:pPr>
              <w:jc w:val="center"/>
              <w:rPr>
                <w:sz w:val="21"/>
                <w:szCs w:val="24"/>
                <w:vertAlign w:val="baseline"/>
              </w:rPr>
            </w:pPr>
          </w:p>
        </w:tc>
        <w:tc>
          <w:tcPr>
            <w:tcW w:w="2025" w:type="dxa"/>
            <w:vMerge w:val="continue"/>
            <w:vAlign w:val="center"/>
          </w:tcPr>
          <w:p>
            <w:pPr>
              <w:jc w:val="center"/>
              <w:rPr>
                <w:sz w:val="21"/>
                <w:szCs w:val="24"/>
                <w:vertAlign w:val="baseline"/>
              </w:rPr>
            </w:pPr>
          </w:p>
        </w:tc>
        <w:tc>
          <w:tcPr>
            <w:tcW w:w="1471" w:type="dxa"/>
            <w:vMerge w:val="continue"/>
            <w:vAlign w:val="center"/>
          </w:tcPr>
          <w:p>
            <w:pPr>
              <w:jc w:val="center"/>
              <w:rPr>
                <w:sz w:val="21"/>
                <w:szCs w:val="24"/>
                <w:vertAlign w:val="baseline"/>
              </w:rPr>
            </w:pPr>
          </w:p>
        </w:tc>
        <w:tc>
          <w:tcPr>
            <w:tcW w:w="3870" w:type="dxa"/>
            <w:vAlign w:val="center"/>
          </w:tcPr>
          <w:p>
            <w:pPr>
              <w:pStyle w:val="2"/>
              <w:keepNext w:val="0"/>
              <w:keepLines w:val="0"/>
              <w:widowControl/>
              <w:suppressLineNumbers w:val="0"/>
              <w:spacing w:before="0" w:beforeAutospacing="0" w:after="0" w:afterAutospacing="0"/>
              <w:ind w:left="0" w:right="0" w:firstLine="0"/>
              <w:jc w:val="center"/>
              <w:rPr>
                <w:sz w:val="24"/>
                <w:szCs w:val="24"/>
              </w:rPr>
            </w:pPr>
            <w:r>
              <w:rPr>
                <w:sz w:val="24"/>
                <w:szCs w:val="24"/>
              </w:rPr>
              <w:t>粉状废活性炭（HWO5、HWO6、HW12、HW13、HW39、HW49)</w:t>
            </w:r>
          </w:p>
          <w:p>
            <w:pPr>
              <w:jc w:val="center"/>
              <w:rPr>
                <w:sz w:val="21"/>
                <w:szCs w:val="24"/>
                <w:vertAlign w:val="baseline"/>
              </w:rPr>
            </w:pPr>
          </w:p>
        </w:tc>
        <w:tc>
          <w:tcPr>
            <w:tcW w:w="1905" w:type="dxa"/>
            <w:vAlign w:val="center"/>
          </w:tcPr>
          <w:p>
            <w:pPr>
              <w:jc w:val="center"/>
              <w:rPr>
                <w:rFonts w:hint="default" w:eastAsiaTheme="minorEastAsia"/>
                <w:sz w:val="21"/>
                <w:szCs w:val="24"/>
                <w:vertAlign w:val="baseline"/>
                <w:lang w:val="en-US" w:eastAsia="zh-CN"/>
              </w:rPr>
            </w:pPr>
            <w:r>
              <w:rPr>
                <w:rFonts w:hint="eastAsia"/>
                <w:sz w:val="21"/>
                <w:szCs w:val="24"/>
                <w:vertAlign w:val="baseline"/>
                <w:lang w:val="en-US" w:eastAsia="zh-CN"/>
              </w:rPr>
              <w:t>6000吨/年</w:t>
            </w:r>
          </w:p>
        </w:tc>
        <w:tc>
          <w:tcPr>
            <w:tcW w:w="1950" w:type="dxa"/>
            <w:vMerge w:val="continue"/>
            <w:vAlign w:val="center"/>
          </w:tcPr>
          <w:p>
            <w:pPr>
              <w:jc w:val="center"/>
              <w:rPr>
                <w:sz w:val="21"/>
                <w:szCs w:val="24"/>
                <w:vertAlign w:val="baseline"/>
              </w:rPr>
            </w:pPr>
          </w:p>
        </w:tc>
      </w:tr>
    </w:tbl>
    <w:p>
      <w:pPr>
        <w:keepNext w:val="0"/>
        <w:keepLines w:val="0"/>
        <w:widowControl/>
        <w:suppressLineNumbers w:val="0"/>
        <w:jc w:val="left"/>
      </w:pPr>
      <w:r>
        <w:rPr>
          <w:rStyle w:val="6"/>
          <w:rFonts w:ascii="微软雅黑" w:hAnsi="微软雅黑" w:eastAsia="微软雅黑" w:cs="微软雅黑"/>
          <w:i w:val="0"/>
          <w:iCs w:val="0"/>
          <w:caps w:val="0"/>
          <w:color w:val="575757"/>
          <w:spacing w:val="0"/>
          <w:kern w:val="0"/>
          <w:sz w:val="21"/>
          <w:szCs w:val="21"/>
          <w:bdr w:val="none" w:color="auto" w:sz="0" w:space="0"/>
          <w:shd w:val="clear" w:fill="FFFFFF"/>
          <w:lang w:val="en-US" w:eastAsia="zh-CN" w:bidi="ar"/>
        </w:rPr>
        <w:t>处置方案</w:t>
      </w:r>
      <w:r>
        <w:rPr>
          <w:rStyle w:val="6"/>
          <w:rFonts w:hint="eastAsia" w:ascii="微软雅黑" w:hAnsi="微软雅黑" w:eastAsia="微软雅黑" w:cs="微软雅黑"/>
          <w:i w:val="0"/>
          <w:iCs w:val="0"/>
          <w:caps w:val="0"/>
          <w:color w:val="575757"/>
          <w:spacing w:val="0"/>
          <w:kern w:val="0"/>
          <w:sz w:val="21"/>
          <w:szCs w:val="21"/>
          <w:bdr w:val="none" w:color="auto" w:sz="0" w:space="0"/>
          <w:shd w:val="clear"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微软雅黑" w:hAnsi="微软雅黑" w:eastAsia="微软雅黑" w:cs="微软雅黑"/>
          <w:i w:val="0"/>
          <w:iCs w:val="0"/>
          <w:caps w:val="0"/>
          <w:color w:val="575757"/>
          <w:spacing w:val="0"/>
          <w:sz w:val="21"/>
          <w:szCs w:val="21"/>
        </w:rPr>
      </w:pPr>
      <w:r>
        <w:rPr>
          <w:rFonts w:hint="eastAsia" w:ascii="微软雅黑" w:hAnsi="微软雅黑" w:eastAsia="微软雅黑" w:cs="微软雅黑"/>
          <w:i w:val="0"/>
          <w:iCs w:val="0"/>
          <w:caps w:val="0"/>
          <w:color w:val="575757"/>
          <w:spacing w:val="0"/>
          <w:sz w:val="21"/>
          <w:szCs w:val="21"/>
          <w:bdr w:val="none" w:color="auto" w:sz="0" w:space="0"/>
          <w:shd w:val="clear" w:fill="FFFFFF"/>
        </w:rPr>
        <w:t>  废活性炭再生采用加热再生法。原理是在干燥过程中被吸附的部分易挥发性有机物在高温下脱附转化为废气，与水蒸汽一起挥发出去；在活化过程中，剩余的有机化合物在更高温度下热解，废活性炭在定量的氧化剂（水蒸汽或少量氧气）存在下活化，活性炭恢复原有孔隙并制造新孔，达到废活性炭再生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firstLineChars="200"/>
        <w:textAlignment w:val="auto"/>
        <w:rPr>
          <w:rFonts w:hint="eastAsia" w:ascii="微软雅黑" w:hAnsi="微软雅黑" w:eastAsia="微软雅黑" w:cs="微软雅黑"/>
          <w:i w:val="0"/>
          <w:iCs w:val="0"/>
          <w:caps w:val="0"/>
          <w:color w:val="575757"/>
          <w:spacing w:val="0"/>
          <w:sz w:val="21"/>
          <w:szCs w:val="21"/>
        </w:rPr>
      </w:pPr>
      <w:r>
        <w:rPr>
          <w:rFonts w:hint="eastAsia" w:ascii="微软雅黑" w:hAnsi="微软雅黑" w:eastAsia="微软雅黑" w:cs="微软雅黑"/>
          <w:i w:val="0"/>
          <w:iCs w:val="0"/>
          <w:caps w:val="0"/>
          <w:color w:val="575757"/>
          <w:spacing w:val="0"/>
          <w:sz w:val="21"/>
          <w:szCs w:val="21"/>
          <w:bdr w:val="none" w:color="auto" w:sz="0" w:space="0"/>
          <w:shd w:val="clear" w:fill="FFFFFF"/>
        </w:rPr>
        <w:t>由于一般固废活性炭回收量少，</w:t>
      </w:r>
      <w:r>
        <w:rPr>
          <w:rFonts w:hint="eastAsia" w:ascii="微软雅黑" w:hAnsi="微软雅黑" w:eastAsia="微软雅黑" w:cs="微软雅黑"/>
          <w:i w:val="0"/>
          <w:iCs w:val="0"/>
          <w:caps w:val="0"/>
          <w:color w:val="575757"/>
          <w:spacing w:val="0"/>
          <w:sz w:val="21"/>
          <w:szCs w:val="21"/>
          <w:bdr w:val="none" w:color="auto" w:sz="0" w:space="0"/>
          <w:shd w:val="clear" w:fill="FFFFFF"/>
          <w:lang w:val="en-US" w:eastAsia="zh-CN"/>
        </w:rPr>
        <w:t>目前公司已暂停一般固废回收业务。危险固废活性炭生产</w:t>
      </w:r>
      <w:r>
        <w:rPr>
          <w:rFonts w:hint="eastAsia" w:ascii="微软雅黑" w:hAnsi="微软雅黑" w:eastAsia="微软雅黑" w:cs="微软雅黑"/>
          <w:i w:val="0"/>
          <w:iCs w:val="0"/>
          <w:caps w:val="0"/>
          <w:color w:val="575757"/>
          <w:spacing w:val="0"/>
          <w:sz w:val="21"/>
          <w:szCs w:val="21"/>
          <w:bdr w:val="none" w:color="auto" w:sz="0" w:space="0"/>
          <w:shd w:val="clear" w:fill="FFFFFF"/>
        </w:rPr>
        <w:t>主要流程为：粉状废活性炭主要在烘干炉、再生炉内完成干燥与再生过程；蜂窝状废活性炭破碎成颗粒状，进入再生炉内完成干燥与再生过程；颗粒状废活性炭主要在再生炉内完成干燥与再生过程。所产生的再生烟气先经二燃室燃烧后进“SNCR脱硝器+余热锅炉+半干式急冷塔+干式生石灰活性炭混合喷射塔+</w:t>
      </w:r>
      <w:r>
        <w:rPr>
          <w:rFonts w:hint="eastAsia" w:ascii="微软雅黑" w:hAnsi="微软雅黑" w:eastAsia="微软雅黑" w:cs="微软雅黑"/>
          <w:i w:val="0"/>
          <w:iCs w:val="0"/>
          <w:caps w:val="0"/>
          <w:color w:val="575757"/>
          <w:spacing w:val="0"/>
          <w:sz w:val="21"/>
          <w:szCs w:val="21"/>
          <w:bdr w:val="none" w:color="auto" w:sz="0" w:space="0"/>
          <w:shd w:val="clear" w:fill="FFFFFF"/>
          <w:lang w:val="en-US" w:eastAsia="zh-CN"/>
        </w:rPr>
        <w:t>旋风除尘器</w:t>
      </w:r>
      <w:r>
        <w:rPr>
          <w:rFonts w:hint="eastAsia" w:ascii="微软雅黑" w:hAnsi="微软雅黑" w:eastAsia="微软雅黑" w:cs="微软雅黑"/>
          <w:i w:val="0"/>
          <w:iCs w:val="0"/>
          <w:caps w:val="0"/>
          <w:color w:val="575757"/>
          <w:spacing w:val="0"/>
          <w:sz w:val="21"/>
          <w:szCs w:val="21"/>
          <w:bdr w:val="none" w:color="auto" w:sz="0" w:space="0"/>
          <w:shd w:val="clear" w:fill="FFFFFF"/>
        </w:rPr>
        <w:t>+布袋除尘器+臭氧脱硫脱硝器+</w:t>
      </w:r>
      <w:r>
        <w:rPr>
          <w:rFonts w:hint="eastAsia" w:ascii="微软雅黑" w:hAnsi="微软雅黑" w:eastAsia="微软雅黑" w:cs="微软雅黑"/>
          <w:i w:val="0"/>
          <w:iCs w:val="0"/>
          <w:caps w:val="0"/>
          <w:color w:val="575757"/>
          <w:spacing w:val="0"/>
          <w:sz w:val="21"/>
          <w:szCs w:val="21"/>
          <w:bdr w:val="none" w:color="auto" w:sz="0" w:space="0"/>
          <w:shd w:val="clear" w:fill="FFFFFF"/>
          <w:lang w:val="en-US" w:eastAsia="zh-CN"/>
        </w:rPr>
        <w:t>二</w:t>
      </w:r>
      <w:r>
        <w:rPr>
          <w:rFonts w:hint="eastAsia" w:ascii="微软雅黑" w:hAnsi="微软雅黑" w:eastAsia="微软雅黑" w:cs="微软雅黑"/>
          <w:i w:val="0"/>
          <w:iCs w:val="0"/>
          <w:caps w:val="0"/>
          <w:color w:val="575757"/>
          <w:spacing w:val="0"/>
          <w:sz w:val="21"/>
          <w:szCs w:val="21"/>
          <w:bdr w:val="none" w:color="auto" w:sz="0" w:space="0"/>
          <w:shd w:val="clear" w:fill="FFFFFF"/>
        </w:rPr>
        <w:t>级碱液喷淋塔+除雾器+活性炭吸附箱”进行净化处理。</w:t>
      </w:r>
    </w:p>
    <w:p>
      <w:pPr>
        <w:keepNext w:val="0"/>
        <w:keepLines w:val="0"/>
        <w:pageBreakBefore w:val="0"/>
        <w:kinsoku/>
        <w:wordWrap/>
        <w:overflowPunct/>
        <w:topLinePunct w:val="0"/>
        <w:autoSpaceDE/>
        <w:autoSpaceDN/>
        <w:bidi w:val="0"/>
        <w:adjustRightInd/>
        <w:snapToGrid/>
        <w:spacing w:line="420" w:lineRule="exact"/>
        <w:textAlignment w:val="auto"/>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QyMmMyMzIwY2ZkMzk2OTUzZDY3MmNjYmM3YjIifQ=="/>
  </w:docVars>
  <w:rsids>
    <w:rsidRoot w:val="5B284E4B"/>
    <w:rsid w:val="44977C2B"/>
    <w:rsid w:val="5B28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Words>
  <Characters>184</Characters>
  <Lines>0</Lines>
  <Paragraphs>0</Paragraphs>
  <TotalTime>7</TotalTime>
  <ScaleCrop>false</ScaleCrop>
  <LinksUpToDate>false</LinksUpToDate>
  <CharactersWithSpaces>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2023-03-09T02:13:00Z</dcterms:created>
  <dc:creator>A碧海蓝天   15961166681</dc:creator>
  <cp:lastModifiedBy>A碧海蓝天   15961166681</cp:lastModifiedBy>
  <dcterms:modified xsi:type="dcterms:W3CDTF">2023-03-09T02:30:39Z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BAF49241FA9A4FCA85483F7B91207454</vt:lpwstr>
  </property>
</Properties>
</file>